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КОММЕРЧЕСКОЕ ПРЕДЛОЖЕНИЕ ALT-TN-20261021-02</w:t>
      </w:r>
    </w:p>
    <w:p>
      <w:pPr>
        <w:pStyle w:val="Heading1"/>
      </w:pPr>
      <w:r>
        <w:t>Веб-портал TANYM</w:t>
      </w:r>
    </w:p>
    <w:p>
      <w:r>
        <w:t>Для Многофункционального комплекса TANYM. Основание: техническое задание версии 1.1 от 21 октября 2026 года, полученное в WhatsApp.</w:t>
      </w:r>
    </w:p>
    <w:p>
      <w:pPr>
        <w:pStyle w:val="Heading2"/>
      </w:pPr>
      <w:r>
        <w:t>Полная индивидуальная разработка</w:t>
      </w:r>
    </w:p>
    <w:p>
      <w:r>
        <w:t>Двуязычный портал RU/KZ с собственной CMS, визуальным редактором страниц, тремя системами шаблонов карточек и управлением содержимым без изменения кода.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7427"/>
      </w:tblGrid>
      <w:tr>
        <w:trPr>
          <w:cantSplit/>
          <w:tblHeader/>
        </w:trPr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Предложение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Стоимость разработки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619 040 ₸ без НДС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Трудоёмкость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20,4 человеко-дня / 163,2 человеко-часа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Срок полной реализации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14–16,8 календарного дня / 336–403,2 часа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Первая рабочая версия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5,6–7 календарных дней / 134,4–168 часов после старта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Гарантия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90 календарных дней после запуска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Дата и срок действия КП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21.10.2026; действительно до 20.11.2026</w:t>
            </w:r>
          </w:p>
        </w:tc>
      </w:tr>
    </w:tbl>
    <w:p>
      <w:pPr>
        <w:spacing w:after="0"/>
      </w:pPr>
    </w:p>
    <w:p>
      <w:pPr>
        <w:pStyle w:val="Heading2"/>
      </w:pPr>
      <w:r>
        <w:t>Посмотрите предложенный подход</w:t>
      </w:r>
    </w:p>
    <w:p>
      <w:r>
        <w:t xml:space="preserve">Презентация: </w:t>
      </w:r>
      <w:hyperlink r:id="rId11">
        <w:r>
          <w:rPr>
            <w:color w:val="355CE5"/>
          </w:rPr>
          <w:t>https://tanym.alteman.kz/</w:t>
        </w:r>
      </w:hyperlink>
      <w:r/>
    </w:p>
    <w:p>
      <w:r>
        <w:t xml:space="preserve">Демонстрация CMS: </w:t>
      </w:r>
      <w:hyperlink r:id="rId12">
        <w:r>
          <w:rPr>
            <w:color w:val="355CE5"/>
          </w:rPr>
          <w:t>https://tanym.alteman.kz/cms/</w:t>
        </w:r>
      </w:hyperlink>
      <w:r/>
    </w:p>
    <w:p>
      <w:r>
        <w:t xml:space="preserve">HTML, PDF и Word: </w:t>
      </w:r>
      <w:hyperlink r:id="rId13">
        <w:r>
          <w:rPr>
            <w:color w:val="355CE5"/>
          </w:rPr>
          <w:t>https://tanym.alteman.kz/kp/</w:t>
        </w:r>
      </w:hyperlink>
      <w:r/>
    </w:p>
    <w:p>
      <w:r>
        <w:t>Демонстрация иллюстрирует внешний вид и ключевые сценарии. Данные кружков и педагогов — примеры. Изменения в демо-CMS сохраняются в браузере; серверная система, права и рабочая база данных реализуются по этапам проекта.</w:t>
      </w:r>
    </w:p>
    <w:p>
      <w:r>
        <w:br w:type="page"/>
      </w:r>
    </w:p>
    <w:p>
      <w:r>
        <w:rPr>
          <w:sz w:val="16"/>
        </w:rPr>
        <w:t>ПОКРЫТИЕ РАЗДЕЛОВ ТЗ 1–4, 7–8</w:t>
      </w:r>
    </w:p>
    <w:p>
      <w:pPr>
        <w:pStyle w:val="Heading1"/>
      </w:pPr>
      <w:r>
        <w:t>Публичный портал и RU/KZ</w:t>
      </w:r>
    </w:p>
    <w:p>
      <w:pPr>
        <w:pStyle w:val="Heading2"/>
      </w:pPr>
      <w:r>
        <w:t>Информация, которую легко найти</w:t>
      </w:r>
    </w:p>
    <w:p>
      <w:r>
        <w:t>Главная, об организации, родителям, направления, страницы направлений, кружки и секции, педагоги, расписание, новости, достижения, партнёры, документы и контакты. Дополнительные страницы создаются сотрудниками через CMS.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7427"/>
      </w:tblGrid>
      <w:tr>
        <w:trPr>
          <w:cantSplit/>
          <w:tblHeader/>
        </w:trPr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Функция</w:t>
            </w:r>
          </w:p>
        </w:tc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Что реализуем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Двуязычность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Отдельные RU/KZ-поля для текстов, названий, меню и системных подписей; переключение на соответствующий маршрут. Для отсутствующего перевода — согласованный fallback.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Страницы и меню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Независимые сущности. Вложенность, порядок, скрытие, внешние ссылки и якоря. Системные страницы защищены. Переименование не меняет опубликованный slug без явного действия.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Кружки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Направление, возраст, описание, фото, педагог, кабинет, стоимость/бесплатно, группы, интервалы времени и статусы.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Расписание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Несколько групп и интервалов в день; связанное отображение в карточке кружка и общем расписании.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Поиск и фильтры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Поиск по публичным страницам, кружкам, педагогам, новостям и документам RU/KZ. Фильтры по направлению, возрасту и педагогу без полной перезагрузки.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Публикации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Новости, достижения и партнёры: даты, фото/логотип, видео, категории, порядок и статус публикации.</w:t>
            </w:r>
          </w:p>
        </w:tc>
      </w:tr>
    </w:tbl>
    <w:p>
      <w:pPr>
        <w:spacing w:after="0"/>
      </w:pPr>
    </w:p>
    <w:p>
      <w:r>
        <w:t>Черновики, скрытые кружки и административная информация исключаются из публичной выдачи. Безопасное удаление страницы проверяет зависимые пункты меню и внутренние ссылки.</w:t>
      </w:r>
    </w:p>
    <w:p>
      <w:r>
        <w:br w:type="page"/>
      </w:r>
    </w:p>
    <w:p>
      <w:r>
        <w:rPr>
          <w:sz w:val="16"/>
        </w:rPr>
        <w:t>ПОКРЫТИЕ РАЗДЕЛОВ ТЗ 6, 10, 12–13</w:t>
      </w:r>
    </w:p>
    <w:p>
      <w:pPr>
        <w:pStyle w:val="Heading1"/>
      </w:pPr>
      <w:r>
        <w:t>Собственная система управления</w:t>
      </w:r>
    </w:p>
    <w:p>
      <w:pPr>
        <w:pStyle w:val="Heading2"/>
      </w:pPr>
      <w:r>
        <w:t>Рабочее место команды TANYM</w:t>
      </w:r>
    </w:p>
    <w:p>
      <w:r>
        <w:t>Отдельная административная часть: страницы, редактор, навигация, направления, кружки, педагоги, группы и расписание, новости, достижения, партнёры, три раздела дизайнов карточек, настройки, пользователи и медиатека. Тема админки не зависит от публичной темы.</w:t>
      </w:r>
    </w:p>
    <w:p>
      <w:pPr>
        <w:pStyle w:val="ListBullet"/>
      </w:pPr>
      <w:r>
        <w:t>Понятные таблицы и формы; статусы, сортировка, валидация, подтверждение опасных действий и одно уведомление на результат операции.</w:t>
      </w:r>
    </w:p>
    <w:p>
      <w:pPr>
        <w:pStyle w:val="ListBullet"/>
      </w:pPr>
      <w:r>
        <w:t>Управление цветами, фоном и поверхностями сайта. Настройки темы проходят проверку контраста и сохраняют адаптивность.</w:t>
      </w:r>
    </w:p>
    <w:p>
      <w:pPr>
        <w:pStyle w:val="Heading2"/>
      </w:pPr>
      <w:r>
        <w:t>Импорт и экспорт</w:t>
      </w:r>
    </w:p>
    <w:p>
      <w:r>
        <w:t>CSV/XLSX для направлений, кружков, педагогов, групп и расписания. Перед импортом — проверка колонок, обязательных полей, форматов и связей; предпросмотр результата и список ошибок. Применение в транзакции: ошибочный файл не оставляет частично изменённые данные.</w:t>
      </w:r>
    </w:p>
    <w:p>
      <w:pPr>
        <w:pStyle w:val="Heading2"/>
      </w:pPr>
      <w:r>
        <w:t>Уведомления и журнал</w:t>
      </w:r>
    </w:p>
    <w:p>
      <w:r>
        <w:t>Внутренние уведомления о важных событиях и ошибках; email для критических событий через согласованный почтовый канал. Настраиваем получателей и типы событий. Секреты в уведомления не попадают.</w:t>
      </w:r>
    </w:p>
    <w:p>
      <w:r>
        <w:t>Журнал фиксирует пользователя, время, объект и действие: вход, публикацию, удаление, изменение справочника или настроек. Просмотр доступен только уполномоченной роли.</w:t>
      </w:r>
    </w:p>
    <w:p>
      <w:pPr>
        <w:pStyle w:val="Heading2"/>
      </w:pPr>
      <w:r>
        <w:t>Файлы и видео</w:t>
      </w:r>
    </w:p>
    <w:p>
      <w:r>
        <w:t>Изображения JPEG/PNG/WebP, документы PDF/DOC/DOCX, внешнее видео и локальные MP4/WebM/MOV при необходимости. Раздельное хранение, серверная проверка формата и фактического MIME, размера и безопасного имени. Лимиты согласуются по тестовым материалам.</w:t>
      </w:r>
    </w:p>
    <w:p>
      <w:r>
        <w:br w:type="page"/>
      </w:r>
    </w:p>
    <w:p>
      <w:r>
        <w:rPr>
          <w:sz w:val="16"/>
        </w:rPr>
        <w:t>ПОКРЫТИЕ РАЗДЕЛОВ ТЗ 5–6</w:t>
      </w:r>
    </w:p>
    <w:p>
      <w:pPr>
        <w:pStyle w:val="Heading1"/>
      </w:pPr>
      <w:r>
        <w:t>Визуальный редактор страниц</w:t>
      </w:r>
    </w:p>
    <w:p>
      <w:pPr>
        <w:pStyle w:val="Heading2"/>
      </w:pPr>
      <w:r>
        <w:t>От черновика к опубликованной странице</w:t>
      </w:r>
    </w:p>
    <w:p>
      <w:r>
        <w:t>Режимы редактирования, предпросмотра и публикации. Элементы: заголовок, текст, изображение, видео, кнопка, документ, разделитель, список и карточки. Готовые блоки Hero, информация, инструкция и пустой блок после вставки редактируются обычными инструментами.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7427"/>
      </w:tblGrid>
      <w:tr>
        <w:trPr>
          <w:cantSplit/>
          <w:tblHeader/>
        </w:trPr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Механизм</w:t>
            </w:r>
          </w:p>
        </w:tc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Реализация и результат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Холст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Перемещение и изменение размеров мышью; точные X/Y/W/H; блокировка, удаление, видимость и порядок слоёв.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Адаптивность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Геометрия холста привязана к контейнеру и правилам контрольных ширин. Для сложных композиций — отдельные настройки mobile/tablet; элементы не выходят за экран.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Безопасное сохранение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Debounce и очередь операций. Идентификаторы сущностей, номер ревизии и проверка актуальности. Удалённый слой не восстанавливается запоздалым запросом.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Конфликты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Оптимистическая блокировка по ревизии. При параллельном редактировании система предлагает загрузить актуальную версию, а не молча перезаписывает работу.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Версии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История сохранений и восстановление в черновик. Публичная версия меняется только явной публикацией.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Публикация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Единый рендерер элементов используется в редакторе, preview и public. Публикация фиксирует целостную версию страницы.</w:t>
            </w:r>
          </w:p>
        </w:tc>
      </w:tr>
    </w:tbl>
    <w:p>
      <w:pPr>
        <w:spacing w:after="0"/>
      </w:pPr>
    </w:p>
    <w:p>
      <w:r>
        <w:t>Предлагаемый сценарий приёмки: быстро переместить элемент, удалить его во время автосохранения, переключить страницу, восстановить версию и проверить, что опубликованный сайт не изменился до нажатия «Опубликовать».</w:t>
      </w:r>
    </w:p>
    <w:p>
      <w:r>
        <w:br w:type="page"/>
      </w:r>
    </w:p>
    <w:p>
      <w:r>
        <w:rPr>
          <w:sz w:val="16"/>
        </w:rPr>
        <w:t>ПОКРЫТИЕ РАЗДЕЛА ТЗ 9</w:t>
      </w:r>
    </w:p>
    <w:p>
      <w:pPr>
        <w:pStyle w:val="Heading1"/>
      </w:pPr>
      <w:r>
        <w:t>Три конструктора карточек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7427"/>
      </w:tblGrid>
      <w:tr>
        <w:trPr>
          <w:cantSplit/>
          <w:tblHeader/>
        </w:trPr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Система</w:t>
            </w:r>
          </w:p>
        </w:tc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Состав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Карточки кружков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Несколько шаблонов с динамическими полями кружка, фото, педагога и его фото, группы, возраста, дней, времени, кабинета и стоимости. Выбор опубликованного шаблона при вставке.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Карточки контента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Визуальные шаблоны новостей, достижений и партнёров. Безопасные значения при отсутствии фото, даты или описания.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Универсальные карточки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Отдельные «Дизайны карточек» для направлений, услуг, мероприятий и информационных блоков. Не требуют принудительной миграции двух предыдущих систем.</w:t>
            </w:r>
          </w:p>
        </w:tc>
      </w:tr>
    </w:tbl>
    <w:p>
      <w:pPr>
        <w:spacing w:after="0"/>
      </w:pPr>
    </w:p>
    <w:p>
      <w:pPr>
        <w:pStyle w:val="Heading2"/>
      </w:pPr>
      <w:r>
        <w:t>Шаблон и содержимое экземпляра</w:t>
      </w:r>
    </w:p>
    <w:p>
      <w:r>
        <w:t>Шаблон хранит структуру и оформление слоёв. Экземпляр — конкретные тексты RU/KZ, изображения и ссылки. Повторное использование одного дизайна сохраняет независимость содержимого разных карточек.</w:t>
      </w:r>
    </w:p>
    <w:p>
      <w:pPr>
        <w:pStyle w:val="ListBullet"/>
      </w:pPr>
      <w:r>
        <w:t>Текст: X/Y/W/H, RU/KZ, шрифт, размер, жирность, цвет, line-height, выравнивание, видимость и блокировка.</w:t>
      </w:r>
    </w:p>
    <w:p>
      <w:pPr>
        <w:pStyle w:val="ListBullet"/>
      </w:pPr>
      <w:r>
        <w:t>Изображение: загрузка, cover/contain, object-position, радиус и геометрия. Кнопка: RU/KZ, оформление и безопасное действие. Фигура: фон, прозрачность, рамка и радиус.</w:t>
      </w:r>
    </w:p>
    <w:p>
      <w:pPr>
        <w:pStyle w:val="ListBullet"/>
      </w:pPr>
      <w:r>
        <w:t>Слои перемещаются, меняют размер, порядок, видимость и блокировку. В Visual Editor вся карточка масштабируется и перемещается как единый объект.</w:t>
      </w:r>
    </w:p>
    <w:p>
      <w:pPr>
        <w:pStyle w:val="Heading2"/>
      </w:pPr>
      <w:r>
        <w:t>Стабильность изменений</w:t>
      </w:r>
    </w:p>
    <w:p>
      <w:r>
        <w:t>Публикация шаблона фиксирует версию. Обновление связанных экземпляров выполняется контролируемо с предпросмотром; собственные значения экземпляра не теряются. Совпадение редактора, предпросмотра и публичного вида проверяем отдельными сценариями.</w:t>
      </w:r>
    </w:p>
    <w:p>
      <w:r>
        <w:br w:type="page"/>
      </w:r>
    </w:p>
    <w:p>
      <w:r>
        <w:rPr>
          <w:sz w:val="16"/>
        </w:rPr>
        <w:t>ПОКРЫТИЕ РАЗДЕЛОВ ТЗ 11–13, 17</w:t>
      </w:r>
    </w:p>
    <w:p>
      <w:pPr>
        <w:pStyle w:val="Heading1"/>
      </w:pPr>
      <w:r>
        <w:t>Архитектура и безопасность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7427"/>
      </w:tblGrid>
      <w:tr>
        <w:trPr>
          <w:cantSplit/>
          <w:tblHeader/>
        </w:trPr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Задача</w:t>
            </w:r>
          </w:p>
        </w:tc>
        <w:tc>
          <w:tcPr>
            <w:tcW w:type="dxa" w:w="4989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Предлагаемые инструменты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Публичный портал и CMS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TypeScript, React, Next.js App Router; серверная выдача публичных страниц и интерактивные редакторы.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Редакторы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React Moveable для перемещения/размеров; собственная JSON-модель элементов, шаблонов и экземпляров; безопасный текстовый редактор.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Сервер и база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Серверные обработчики TypeScript, PostgreSQL, Prisma ORM стабильной ветки, миграции и транзакции.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Файлы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S3-совместимое объектное хранилище; отдельные области изображений, документов и видео; загрузка через сервер.</w:t>
            </w:r>
          </w:p>
        </w:tc>
      </w:tr>
      <w:tr>
        <w:trPr>
          <w:cantSplit/>
        </w:trPr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Поиск и операции</w:t>
            </w:r>
          </w:p>
        </w:tc>
        <w:tc>
          <w:tcPr>
            <w:tcW w:type="dxa" w:w="4989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Индексируемый поиск PostgreSQL с Unicode RU/KZ; транзакционный импорт; серверный журнал и очередь уведомлений.</w:t>
            </w:r>
          </w:p>
        </w:tc>
      </w:tr>
      <w:tr>
        <w:trPr>
          <w:cantSplit/>
        </w:trPr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Развёртывание</w:t>
            </w:r>
          </w:p>
        </w:tc>
        <w:tc>
          <w:tcPr>
            <w:tcW w:type="dxa" w:w="4989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Linux, nginx, HTTPS, отдельные staging/production; журнал ошибок и мониторинг доступности.</w:t>
            </w:r>
          </w:p>
        </w:tc>
      </w:tr>
    </w:tbl>
    <w:p>
      <w:pPr>
        <w:spacing w:after="0"/>
      </w:pPr>
    </w:p>
    <w:p>
      <w:r>
        <w:t>Admin управляет содержимым; Super Admin — дополнительно администраторами и правами. Сервер проверяет каждый запрос. Сессии ограничены по времени и отзываются; cookies HttpOnly/Secure/SameSite. Из браузера нет прямой публичной записи в БД.</w:t>
      </w:r>
    </w:p>
    <w:p>
      <w:r>
        <w:t>Защита: HTTPS, Origin/CSRF, безопасный рендер без произвольного JavaScript, параметризованные запросы, ограничение частоты входа/API, проверка файлов по magic bytes/MIME, защита административной части от iframe. Настраиваем CSP и другие согласованные заголовки. Секреты остаются на сервере.</w:t>
      </w:r>
    </w:p>
    <w:p>
      <w:r>
        <w:t>Версии зависимостей фиксируются при старте, выбираются поддерживаемые стабильные релизы. Сторонние компоненты и лицензии перечисляются в документации.</w:t>
      </w:r>
    </w:p>
    <w:p>
      <w:r>
        <w:t xml:space="preserve">Документация: </w:t>
      </w:r>
      <w:hyperlink r:id="rId14">
        <w:r>
          <w:rPr>
            <w:color w:val="355CE5"/>
          </w:rPr>
          <w:t>https://nextjs.org/docs/app</w:t>
        </w:r>
      </w:hyperlink>
      <w:r>
        <w:t xml:space="preserve"> | </w:t>
      </w:r>
      <w:hyperlink r:id="rId15">
        <w:r>
          <w:rPr>
            <w:color w:val="355CE5"/>
          </w:rPr>
          <w:t>https://www.postgresql.org/docs/current/</w:t>
        </w:r>
      </w:hyperlink>
      <w:r>
        <w:t xml:space="preserve"> | </w:t>
      </w:r>
      <w:hyperlink r:id="rId16">
        <w:r>
          <w:rPr>
            <w:color w:val="355CE5"/>
          </w:rPr>
          <w:t>https://www.prisma.io/docs/orm</w:t>
        </w:r>
      </w:hyperlink>
      <w:r>
        <w:t xml:space="preserve"> | </w:t>
      </w:r>
      <w:hyperlink r:id="rId17">
        <w:r>
          <w:rPr>
            <w:color w:val="355CE5"/>
          </w:rPr>
          <w:t>https://github.com/daybrush/moveable</w:t>
        </w:r>
      </w:hyperlink>
      <w:r/>
    </w:p>
    <w:p>
      <w:r>
        <w:br w:type="page"/>
      </w:r>
    </w:p>
    <w:p>
      <w:r>
        <w:rPr>
          <w:sz w:val="16"/>
        </w:rPr>
        <w:t>ПОРТФОЛИО ALTEMAN</w:t>
      </w:r>
    </w:p>
    <w:p>
      <w:pPr>
        <w:pStyle w:val="Heading1"/>
      </w:pPr>
      <w:r>
        <w:t>Примеры реализованных проектов</w:t>
      </w:r>
    </w:p>
    <w:p>
      <w:pPr>
        <w:pStyle w:val="Heading2"/>
      </w:pPr>
      <w:r>
        <w:t>Пример аналогичной работы</w:t>
      </w:r>
    </w:p>
    <w:p>
      <w:r/>
      <w:hyperlink r:id="rId18">
        <w:r>
          <w:rPr>
            <w:color w:val="355CE5"/>
          </w:rPr>
          <w:t>https://digital.alteman.kz/</w:t>
        </w:r>
      </w:hyperlink>
      <w:r/>
    </w:p>
    <w:p>
      <w:r>
        <w:t>Образовательная платформа «ТІЛ ӘЛЕМІ AI»: интерфейс RU/KZ, разделы для детей, родителей и педагогов, каталог занятий. Пример аналогичной работы ALTEMAN в сфере образовательных веб-проектов.</w:t>
      </w:r>
    </w:p>
    <w:p>
      <w:pPr>
        <w:pStyle w:val="Heading2"/>
      </w:pPr>
      <w:r>
        <w:t>Сложные работы и порталы</w:t>
      </w:r>
    </w:p>
    <w:p>
      <w:r/>
      <w:hyperlink r:id="rId19">
        <w:r>
          <w:rPr>
            <w:color w:val="355CE5"/>
          </w:rPr>
          <w:t>https://kz.torgo.biz/</w:t>
        </w:r>
      </w:hyperlink>
      <w:r/>
    </w:p>
    <w:p>
      <w:r>
        <w:t>Портал автоматизации дистрибуции и работы торговых представителей: каталоги поставщиков, остатки, торговые точки, партнёрства и заказы в одной системе. Пример сложного портального решения ALTEMAN.</w:t>
      </w:r>
    </w:p>
    <w:p>
      <w:pPr>
        <w:pStyle w:val="Heading2"/>
      </w:pPr>
      <w:r>
        <w:t>Презентация для TANYM</w:t>
      </w:r>
    </w:p>
    <w:p>
      <w:r/>
      <w:hyperlink r:id="rId11">
        <w:r>
          <w:rPr>
            <w:color w:val="355CE5"/>
          </w:rPr>
          <w:t>https://tanym.alteman.kz/</w:t>
        </w:r>
      </w:hyperlink>
      <w:r/>
    </w:p>
    <w:p>
      <w:r/>
      <w:hyperlink r:id="rId12">
        <w:r>
          <w:rPr>
            <w:color w:val="355CE5"/>
          </w:rPr>
          <w:t>https://tanym.alteman.kz/cms/</w:t>
        </w:r>
      </w:hyperlink>
      <w:r/>
    </w:p>
    <w:p>
      <w:r>
        <w:t>Отдельная презентация показывает предлагаемый интерфейс TANYM и основные сценарии визуального редактора. Полный состав работ и критерии приёмки зафиксированы в настоящем предложении.</w:t>
      </w:r>
    </w:p>
    <w:p>
      <w:r>
        <w:br w:type="page"/>
      </w:r>
    </w:p>
    <w:p>
      <w:r>
        <w:rPr>
          <w:sz w:val="16"/>
        </w:rPr>
        <w:t>ПОЛНЫЙ ОБЪЁМ ТЗ БЕЗ СКРЫТОГО ОКРУГЛЕНИЯ</w:t>
      </w:r>
    </w:p>
    <w:p>
      <w:pPr>
        <w:pStyle w:val="Heading1"/>
      </w:pPr>
      <w:r>
        <w:t>Подробная смета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4706"/>
        <w:gridCol w:w="737"/>
        <w:gridCol w:w="850"/>
        <w:gridCol w:w="1361"/>
        <w:gridCol w:w="1871"/>
      </w:tblGrid>
      <w:tr>
        <w:trPr>
          <w:cantSplit/>
          <w:tblHeader/>
        </w:trPr>
        <w:tc>
          <w:tcPr>
            <w:tcW w:type="dxa" w:w="1663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663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6"/>
              </w:rPr>
              <w:t>Работы</w:t>
            </w:r>
          </w:p>
        </w:tc>
        <w:tc>
          <w:tcPr>
            <w:tcW w:type="dxa" w:w="1663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6"/>
              </w:rPr>
              <w:t>Дни</w:t>
            </w:r>
          </w:p>
        </w:tc>
        <w:tc>
          <w:tcPr>
            <w:tcW w:type="dxa" w:w="1663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6"/>
              </w:rPr>
              <w:t>Часы</w:t>
            </w:r>
          </w:p>
        </w:tc>
        <w:tc>
          <w:tcPr>
            <w:tcW w:type="dxa" w:w="1663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6"/>
              </w:rPr>
              <w:t>₸/час</w:t>
            </w:r>
          </w:p>
        </w:tc>
        <w:tc>
          <w:tcPr>
            <w:tcW w:type="dxa" w:w="1663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6"/>
              </w:rPr>
              <w:t>Сумма, ₸</w:t>
            </w:r>
          </w:p>
        </w:tc>
      </w:tr>
      <w:tr>
        <w:trPr>
          <w:cantSplit/>
        </w:trPr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Аналитика, архитектура, модель данных и критерии приёмки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1,2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9,6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4 200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40 320</w:t>
            </w:r>
          </w:p>
        </w:tc>
      </w:tr>
      <w:tr>
        <w:trPr>
          <w:cantSplit/>
        </w:trPr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UX/UI: публичный сайт, CMS и адаптивные макеты RU/KZ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1,8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14,4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3 300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47 520</w:t>
            </w:r>
          </w:p>
        </w:tc>
      </w:tr>
      <w:tr>
        <w:trPr>
          <w:cantSplit/>
        </w:trPr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Frontend публичного портала и двуязычные маршруты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2,4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19,2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3 500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67 200</w:t>
            </w:r>
          </w:p>
        </w:tc>
      </w:tr>
      <w:tr>
        <w:trPr>
          <w:cantSplit/>
        </w:trPr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Backend: PostgreSQL, сессии, роли, API и файлы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2,6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20,8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4 200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87 360</w:t>
            </w:r>
          </w:p>
        </w:tc>
      </w:tr>
      <w:tr>
        <w:trPr>
          <w:cantSplit/>
        </w:trPr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Собственная CMS: разделы, навигация, импорт, журнал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2,4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19,2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3 800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72 960</w:t>
            </w:r>
          </w:p>
        </w:tc>
      </w:tr>
      <w:tr>
        <w:trPr>
          <w:cantSplit/>
        </w:trPr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Visual Editor: холст, геометрия, версии и публикация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3,2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25,6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4 200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107 520</w:t>
            </w:r>
          </w:p>
        </w:tc>
      </w:tr>
      <w:tr>
        <w:trPr>
          <w:cantSplit/>
        </w:trPr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Три конструктора карточек и единый рендер шаблонов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2,4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19,2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4 000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76 800</w:t>
            </w:r>
          </w:p>
        </w:tc>
      </w:tr>
      <w:tr>
        <w:trPr>
          <w:cantSplit/>
        </w:trPr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Поиск, фильтры, аналитика и системные уведомления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1,2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9,6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3 600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34 560</w:t>
            </w:r>
          </w:p>
        </w:tc>
      </w:tr>
      <w:tr>
        <w:trPr>
          <w:cantSplit/>
        </w:trPr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Тестирование, безопасность, браузеры и приёмка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2,2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17,6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3 000</w:t>
            </w:r>
          </w:p>
        </w:tc>
        <w:tc>
          <w:tcPr>
            <w:tcW w:type="dxa" w:w="1663"/>
            <w:shd w:fill="EFF3F8"/>
          </w:tcPr>
          <w:p>
            <w:pPr>
              <w:spacing w:after="60"/>
            </w:pPr>
            <w:r>
              <w:rPr>
                <w:b w:val="0"/>
                <w:sz w:val="16"/>
              </w:rPr>
              <w:t>52 800</w:t>
            </w:r>
          </w:p>
        </w:tc>
      </w:tr>
      <w:tr>
        <w:trPr>
          <w:cantSplit/>
        </w:trPr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Развёртывание, backup/restore, документы и обучение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4 000</w:t>
            </w:r>
          </w:p>
        </w:tc>
        <w:tc>
          <w:tcPr>
            <w:tcW w:type="dxa" w:w="1663"/>
            <w:shd w:fill="FFFFFF"/>
          </w:tcPr>
          <w:p>
            <w:pPr>
              <w:spacing w:after="60"/>
            </w:pPr>
            <w:r>
              <w:rPr>
                <w:b w:val="0"/>
                <w:sz w:val="16"/>
              </w:rPr>
              <w:t>32 000</w:t>
            </w:r>
          </w:p>
        </w:tc>
      </w:tr>
    </w:tbl>
    <w:p>
      <w:pPr>
        <w:spacing w:after="0"/>
      </w:pPr>
    </w:p>
    <w:p>
      <w:pPr>
        <w:pStyle w:val="Heading2"/>
      </w:pPr>
      <w:r>
        <w:t>Итого: 619 040 ₸ без НДС</w:t>
      </w:r>
    </w:p>
    <w:p>
      <w:r>
        <w:t>Общая трудоёмкость — 20,4 человеко-дня / 163,2 часа. Один трудодень равен 8 часам. Ставка каждой работы указана отдельно. Резерв и процент поверх сметы не добавляются.</w:t>
      </w:r>
    </w:p>
    <w:p>
      <w:r>
        <w:t>Оценка рассчитана самостоятельно для полного ТЗ TANYM v1.1. Смета включает разработку, проверку, согласованное внедрение, документацию и обучение. Регулярное размещение и поддержка приведены отдельно и не увеличивают разовую стоимость разработки.</w:t>
      </w:r>
    </w:p>
    <w:p>
      <w:r>
        <w:t>Условия графика: согласование ключевых решений в течение 3,2 рабочего часа (0,4 трудодня); получение материалов и доступов к моменту соответствующего этапа. Изменение требований оформляется отдельной оценкой до выполнения работ.</w:t>
      </w:r>
    </w:p>
    <w:p>
      <w:r>
        <w:br w:type="page"/>
      </w:r>
    </w:p>
    <w:p>
      <w:r>
        <w:rPr>
          <w:sz w:val="16"/>
        </w:rPr>
        <w:t>ОБЩИЙ СРОК: 14–16,8 КАЛЕНДАРНОГО ДНЯ / 336–403,2 ЧАСА</w:t>
      </w:r>
    </w:p>
    <w:p>
      <w:pPr>
        <w:pStyle w:val="Heading1"/>
      </w:pPr>
      <w:r>
        <w:t>График реализации</w:t>
      </w:r>
    </w:p>
    <w:p>
      <w:r>
        <w:t>Ниже указаны интервалы от момента старта; этапы выполняются параллельно и не складываются. Календарный день равен 24 часам, трудодень в смете — 8 рабочим часам. Дробные значения сохраняют точность согласованной оценки.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  <w:tblHeader/>
        </w:trPr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Этап</w:t>
            </w:r>
          </w:p>
        </w:tc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От старта, дни / часы</w:t>
            </w:r>
          </w:p>
        </w:tc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Проверяемый результат</w:t>
            </w:r>
          </w:p>
        </w:tc>
      </w:tr>
      <w:tr>
        <w:trPr>
          <w:cantSplit/>
        </w:trPr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Аналитика и дизайн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0–2,8 д</w:t>
              <w:br/>
              <w:t>0–67,2 ч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Модель данных, прототипы, правила адаптивности, дизайн публичной части и CMS, критерии приёмки.</w:t>
            </w:r>
          </w:p>
        </w:tc>
      </w:tr>
      <w:tr>
        <w:trPr>
          <w:cantSplit/>
        </w:trPr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Портал и ядро CMS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1,4–7 д</w:t>
              <w:br/>
              <w:t>33,6–168 ч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RU/KZ, страницы/меню, роли, основные справочники, файлы и первичный публичный каталог.</w:t>
            </w:r>
          </w:p>
        </w:tc>
      </w:tr>
      <w:tr>
        <w:trPr>
          <w:cantSplit/>
        </w:trPr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Редакторы и карточки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4,2–11,2 д</w:t>
              <w:br/>
              <w:t>100,8–268,8 ч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Visual Editor, три конструктора, черновики/версии, единый рендер, публикация.</w:t>
            </w:r>
          </w:p>
        </w:tc>
      </w:tr>
      <w:tr>
        <w:trPr>
          <w:cantSplit/>
        </w:trPr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Поиск, импорт и системные функции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7–12,6 д</w:t>
              <w:br/>
              <w:t>168–302,4 ч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Поиск/фильтры, CSV/XLSX, уведомления, аудит, аналитика и настройки.</w:t>
            </w:r>
          </w:p>
        </w:tc>
      </w:tr>
      <w:tr>
        <w:trPr>
          <w:cantSplit/>
        </w:trPr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Приёмка и внедрение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11,2–16,8 д</w:t>
              <w:br/>
              <w:t>268,8–403,2 ч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Контрольные сценарии, мобильные браузеры, backup/restore, обучение, перенос и передача исходников.</w:t>
            </w:r>
          </w:p>
        </w:tc>
      </w:tr>
    </w:tbl>
    <w:p>
      <w:pPr>
        <w:spacing w:after="0"/>
      </w:pPr>
    </w:p>
    <w:p>
      <w:pPr>
        <w:pStyle w:val="Heading2"/>
      </w:pPr>
      <w:r>
        <w:t>Первая рабочая версия</w:t>
      </w:r>
    </w:p>
    <w:p>
      <w:r>
        <w:t>5,6–7 календарных дней / 134,4–168 часов после старта.</w:t>
      </w:r>
    </w:p>
    <w:p>
      <w:r>
        <w:t>На тестовом сервере доступны публичная часть RU/KZ, вход в базовую CMS, страницы, навигация и контрольные данные каталога. Расширенные редакторы и полный набор приёмки передаются на следующих этапах.</w:t>
      </w:r>
    </w:p>
    <w:p>
      <w:pPr>
        <w:pStyle w:val="Heading2"/>
      </w:pPr>
      <w:r>
        <w:t>Проектные роли</w:t>
      </w:r>
    </w:p>
    <w:p>
      <w:r>
        <w:t>Технический руководитель/backend-разработчик, frontend-разработчик, UX/UI-дизайнер, QA/аналитик и DevOps. Роли могут совмещаться; календарь предполагает параллельную работу backend и frontend. Состав исполнителей и график фиксируются договором.</w:t>
      </w:r>
    </w:p>
    <w:p>
      <w:r>
        <w:t>Показываем результат по завершении этапов на тестовом стенде. Срок отсчитывается от предоплаты, получения стартовых материалов и утверждения ответственных. Паузы предоставления данных и согласований отражаются в графике.</w:t>
      </w:r>
    </w:p>
    <w:p>
      <w:r>
        <w:br w:type="page"/>
      </w:r>
    </w:p>
    <w:p>
      <w:r>
        <w:rPr>
          <w:sz w:val="16"/>
        </w:rPr>
        <w:t>ФИКСИРОВАННЫЕ ПРЕДЛОЖЕНИЯ ОТДЕЛЬНО ОТ РАЗРАБОТКИ</w:t>
      </w:r>
    </w:p>
    <w:p>
      <w:pPr>
        <w:pStyle w:val="Heading1"/>
      </w:pPr>
      <w:r>
        <w:t>Размещение и последующая поддержка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rPr>
          <w:cantSplit/>
          <w:tblHeader/>
        </w:trPr>
        <w:tc>
          <w:tcPr>
            <w:tcW w:type="dxa" w:w="2494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Статья</w:t>
            </w:r>
          </w:p>
        </w:tc>
        <w:tc>
          <w:tcPr>
            <w:tcW w:type="dxa" w:w="2494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В месяц</w:t>
            </w:r>
          </w:p>
        </w:tc>
        <w:tc>
          <w:tcPr>
            <w:tcW w:type="dxa" w:w="2494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В год</w:t>
            </w:r>
          </w:p>
        </w:tc>
        <w:tc>
          <w:tcPr>
            <w:tcW w:type="dxa" w:w="2494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Условие</w:t>
            </w:r>
          </w:p>
        </w:tc>
      </w:tr>
      <w:tr>
        <w:trPr>
          <w:cantSplit/>
        </w:trPr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Управляемое размещение ALTEMAN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25 000 ₸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300 000 ₸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Приложение, PostgreSQL, файловое хранилище, HTTPS, контроль доступности и настроенное резервное копирование.</w:t>
            </w:r>
          </w:p>
        </w:tc>
      </w:tr>
      <w:tr>
        <w:trPr>
          <w:cantSplit/>
        </w:trPr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CMS, библиотечные лицензии</w:t>
            </w:r>
          </w:p>
        </w:tc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0 ₸</w:t>
            </w:r>
          </w:p>
        </w:tc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0 ₸</w:t>
            </w:r>
          </w:p>
        </w:tc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Предлагается стек без обязательных платных лицензий.</w:t>
            </w:r>
          </w:p>
        </w:tc>
      </w:tr>
      <w:tr>
        <w:trPr>
          <w:cantSplit/>
        </w:trPr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Демонстрационный поддомен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0 ₸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0 ₸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tanym.alteman.kz предоставлен для презентации.</w:t>
            </w:r>
          </w:p>
        </w:tc>
      </w:tr>
      <w:tr>
        <w:trPr>
          <w:cantSplit/>
        </w:trPr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Основной домен</w:t>
            </w:r>
          </w:p>
        </w:tc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Предоставляет заказчик</w:t>
            </w:r>
          </w:p>
        </w:tc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Предоставляет заказчик</w:t>
            </w:r>
          </w:p>
        </w:tc>
        <w:tc>
          <w:tcPr>
            <w:tcW w:type="dxa" w:w="2494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Права и DNS-доступ передаются для запуска; регистрация нового домена не заказывается этим КП.</w:t>
            </w:r>
          </w:p>
        </w:tc>
      </w:tr>
      <w:tr>
        <w:trPr>
          <w:cantSplit/>
        </w:trPr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Почтовый канал уведомлений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Существующий канал заказчика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Существующий канал заказчика</w:t>
            </w:r>
          </w:p>
        </w:tc>
        <w:tc>
          <w:tcPr>
            <w:tcW w:type="dxa" w:w="2494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Подключение одного согласованного канала входит в разработку.</w:t>
            </w:r>
          </w:p>
        </w:tc>
      </w:tr>
    </w:tbl>
    <w:p>
      <w:pPr>
        <w:spacing w:after="0"/>
      </w:pPr>
    </w:p>
    <w:p>
      <w:r>
        <w:t>25 000 ₸/месяц — коммерческое предложение ALTEMAN на размещение, а не цена подписки Supabase. Предлагается размещение приложения и PostgreSQL в согласованной инфраструктуре; Supabase Pro не является обязательной зависимостью. Выбор среды и параметры хранилища фиксируются до запуска.</w:t>
      </w:r>
    </w:p>
    <w:p>
      <w:pPr>
        <w:pStyle w:val="Heading2"/>
      </w:pPr>
      <w:r>
        <w:t>После гарантийного периода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  <w:tblHeader/>
        </w:trPr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Формат</w:t>
            </w:r>
          </w:p>
        </w:tc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Стоимость</w:t>
            </w:r>
          </w:p>
        </w:tc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Разовые задания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4 000 ₸/час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По согласованному заданию и оценке до начала работ.</w:t>
            </w:r>
          </w:p>
        </w:tc>
      </w:tr>
      <w:tr>
        <w:trPr>
          <w:cantSplit/>
        </w:trPr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Ежемесячное сопровождение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40 000 ₸/месяц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До 10 часов работ: обновления зависимостей, диагностика, консультации, небольшие изменения. Отчёт по выполненным задачам.</w:t>
            </w:r>
          </w:p>
        </w:tc>
      </w:tr>
    </w:tbl>
    <w:p>
      <w:pPr>
        <w:spacing w:after="0"/>
      </w:pPr>
    </w:p>
    <w:p>
      <w:r>
        <w:t>Сопровождение выбирается отдельным договором; размещение и сопровождение — разные услуги. Дополнительные задачи сверх пакета выполняются только после согласования, автоматических списаний нет. На период гарантии исправление дефектов согласованного функционала бесплатно.</w:t>
      </w:r>
    </w:p>
    <w:p>
      <w:r>
        <w:br w:type="page"/>
      </w:r>
    </w:p>
    <w:p>
      <w:r>
        <w:rPr>
          <w:sz w:val="16"/>
        </w:rPr>
        <w:t>ПОКРЫТИЕ РАЗДЕЛОВ ТЗ 14–15, 18</w:t>
      </w:r>
    </w:p>
    <w:p>
      <w:pPr>
        <w:pStyle w:val="Heading1"/>
      </w:pPr>
      <w:r>
        <w:t>Приёмка, качество и передача</w:t>
      </w:r>
    </w:p>
    <w:p>
      <w:pPr>
        <w:pStyle w:val="ListBullet"/>
      </w:pPr>
      <w:r>
        <w:t>Проверяем CRUD всех сущностей, роли и защищённые маршруты, RU/KZ и отсутствие переводов, навигацию/стабильные URL, черновики, версии и публикацию.</w:t>
      </w:r>
    </w:p>
    <w:p>
      <w:pPr>
        <w:pStyle w:val="ListBullet"/>
      </w:pPr>
      <w:r>
        <w:t>Поиск охватывает публичные материалы RU/KZ и не показывает скрытые записи. Фильтры и динамические поля расписания дают ожидаемые результаты.</w:t>
      </w:r>
    </w:p>
    <w:p>
      <w:pPr>
        <w:pStyle w:val="ListBullet"/>
      </w:pPr>
      <w:r>
        <w:t>Редактор устойчив к быстрым перемещениям, удалению во время автосохранения, повторным запросам и конфликтам ревизий. Карточки совпадают в editor/preview/public.</w:t>
      </w:r>
    </w:p>
    <w:p>
      <w:pPr>
        <w:pStyle w:val="ListBullet"/>
      </w:pPr>
      <w:r>
        <w:t>Импорт ошибочного файла показывает ошибки и не повреждает БД. Экспорт корректно открывается; журнал и уведомления фиксируют значимые события.</w:t>
      </w:r>
    </w:p>
    <w:p>
      <w:pPr>
        <w:pStyle w:val="Heading2"/>
      </w:pPr>
      <w:r>
        <w:t>Контрольные устройства и SEO</w:t>
      </w:r>
    </w:p>
    <w:p>
      <w:r>
        <w:t>Ширины: 320, 375, 390, 430, 768, 1024, 1280, 1440 и 1920 px. Браузеры: Chrome, Edge, Firefox, Safari, Safari iOS и Chrome Android. Проверяем safe-area, overscroll, сенсорные цели, текст и отсутствие горизонтального переполнения.</w:t>
      </w:r>
    </w:p>
    <w:p>
      <w:r>
        <w:t>Публичные страницы получают title/description, стабильные URL, canonical по необходимости, sitemap, robots и Open Graph. Админка закрыта от индексирования. Семантика, alt, контраст, клавиатура и видимый focus входят в проверку.</w:t>
      </w:r>
    </w:p>
    <w:p>
      <w:r>
        <w:t>Оптимизируем изображения, отложенную загрузку, запросы и кеширование. Порог времени загрузки и объём контрольных данных фиксируем на старте; выдаём результаты измерений, не обещаем позиции поисковой выдачи.</w:t>
      </w:r>
    </w:p>
    <w:p>
      <w:pPr>
        <w:pStyle w:val="Heading2"/>
      </w:pPr>
      <w:r>
        <w:t>Что получает TANYM</w:t>
      </w:r>
    </w:p>
    <w:p>
      <w:r>
        <w:t>Исходный код в Git-репозитории с историей, схема БД и миграции, конфигурация без секретов, инструкции локального запуска и production-развёртывания, руководство администратора, протокол приёмки и восстановления. Проводим два дистанционных занятия до 90 минут.</w:t>
      </w:r>
    </w:p>
    <w:p>
      <w:r>
        <w:br w:type="page"/>
      </w:r>
    </w:p>
    <w:p>
      <w:r>
        <w:rPr>
          <w:sz w:val="16"/>
        </w:rPr>
        <w:t>ПОКРЫТИЕ РАЗДЕЛОВ ТЗ 11.5, 16 И 19</w:t>
      </w:r>
    </w:p>
    <w:p>
      <w:pPr>
        <w:pStyle w:val="Heading1"/>
      </w:pPr>
      <w:r>
        <w:t>Надёжность, данные и гарантия</w:t>
      </w:r>
    </w:p>
    <w:p>
      <w:pPr>
        <w:pStyle w:val="Heading2"/>
      </w:pPr>
      <w:r>
        <w:t>Резервное копирование и восстановление</w:t>
      </w:r>
    </w:p>
    <w:p>
      <w:r>
        <w:t>Для предлагаемого размещения: ежедневная копия БД с хранением 14 дней; еженедельная копия файлов с хранением 4 последних копий. Резервная копия размещается отдельно от рабочей среды; доступ ограничивается. До запуска выполняем контрольное восстановление и передаём инструкцию.</w:t>
      </w:r>
    </w:p>
    <w:p>
      <w:r>
        <w:t>Ответственность: при управляемом размещении резервирование и техническое восстановление ведёт ALTEMAN; заказчик подтверждает корректность восстановленного содержания. При переносе на собственный сервер заказчика ответственные и регламент закрепляются при передаче.</w:t>
      </w:r>
    </w:p>
    <w:p>
      <w:pPr>
        <w:pStyle w:val="Heading2"/>
      </w:pPr>
      <w:r>
        <w:t>Данные и аналитика</w:t>
      </w:r>
    </w:p>
    <w:p>
      <w:r>
        <w:t>Настраиваем одну согласованную систему аналитики: посещаемость, популярные страницы/кружки, источники и устройства. Административные данные и секреты в аналитику не передаются. Политика конфиденциальности редактируется через CMS; тексты, сроки хранения и необходимость согласия на cookies утверждает заказчик.</w:t>
      </w:r>
    </w:p>
    <w:p>
      <w:r>
        <w:t>Ошибки отображаются понятным сообщением; серверный журнал не раскрывает пароли, токены и ключи. Сбой почтового канала не откатывает уже сохранённый контент: уведомление повторяется безопасно.</w:t>
      </w:r>
    </w:p>
    <w:p>
      <w:pPr>
        <w:pStyle w:val="Heading2"/>
      </w:pPr>
      <w:r>
        <w:t>90 дней гарантии</w:t>
      </w:r>
    </w:p>
    <w:p>
      <w:r>
        <w:t>Бесплатно исправляем воспроизводимые отклонения от согласованного ТЗ. Критическое обращение подтверждаем в течение 4 рабочих часов: понедельник–пятница, 09:00–18:00 по времени Казахстана. После диагностики сообщаем способ восстановления и срок исправления; реакция не равна гарантированному сроку устранения.</w:t>
      </w:r>
    </w:p>
    <w:p>
      <w:r>
        <w:t>Обращения регистрируются в согласованном канале поддержки. Изменения ТЗ, повреждения после сторонних изменений и сбои внешних провайдеров рассматриваются отдельно; относящиеся к нашему коду дефекты устраняются в рамках гарантии.</w:t>
      </w:r>
    </w:p>
    <w:p>
      <w:r>
        <w:br w:type="page"/>
      </w:r>
    </w:p>
    <w:p>
      <w:r>
        <w:rPr>
          <w:sz w:val="16"/>
        </w:rPr>
        <w:t>ДАТА ПРЕДЛОЖЕНИЯ 21 ОКТЯБРЯ 2026 ГОДА</w:t>
      </w:r>
    </w:p>
    <w:p>
      <w:pPr>
        <w:pStyle w:val="Heading1"/>
      </w:pPr>
      <w:r>
        <w:t>Условия сотрудничества ALTEMAN</w:t>
      </w:r>
    </w:p>
    <w:p>
      <w:pPr>
        <w:pStyle w:val="Heading2"/>
      </w:pPr>
      <w:r>
        <w:t>Оплата 40 / 40 / 20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  <w:tblHeader/>
        </w:trPr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Платёж</w:t>
            </w:r>
          </w:p>
        </w:tc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Сумма без НДС</w:t>
            </w:r>
          </w:p>
        </w:tc>
        <w:tc>
          <w:tcPr>
            <w:tcW w:type="dxa" w:w="3326"/>
            <w:shd w:fill="24384E"/>
          </w:tcPr>
          <w:p>
            <w:pPr>
              <w:spacing w:after="60"/>
            </w:pPr>
            <w:r>
              <w:rPr>
                <w:b/>
                <w:color w:val="FFFFFF"/>
                <w:sz w:val="17"/>
              </w:rPr>
              <w:t>Основание</w:t>
            </w:r>
          </w:p>
        </w:tc>
      </w:tr>
      <w:tr>
        <w:trPr>
          <w:cantSplit/>
        </w:trPr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40% при старте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247 616 ₸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Договор, стартовый комплект и запуск аналитики/дизайна.</w:t>
            </w:r>
          </w:p>
        </w:tc>
      </w:tr>
      <w:tr>
        <w:trPr>
          <w:cantSplit/>
        </w:trPr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40% в ходе реализации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247 616 ₸</w:t>
            </w:r>
          </w:p>
        </w:tc>
        <w:tc>
          <w:tcPr>
            <w:tcW w:type="dxa" w:w="3326"/>
            <w:shd w:fill="FFFFFF"/>
          </w:tcPr>
          <w:p>
            <w:pPr>
              <w:spacing w:after="60"/>
            </w:pPr>
            <w:r>
              <w:rPr>
                <w:b w:val="0"/>
                <w:sz w:val="17"/>
              </w:rPr>
              <w:t>Приёмка базового портала/CMS и демонстрация редактора и карточек на контрольном наборе.</w:t>
            </w:r>
          </w:p>
        </w:tc>
      </w:tr>
      <w:tr>
        <w:trPr>
          <w:cantSplit/>
        </w:trPr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20% после приёмки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123 808 ₸</w:t>
            </w:r>
          </w:p>
        </w:tc>
        <w:tc>
          <w:tcPr>
            <w:tcW w:type="dxa" w:w="3326"/>
            <w:shd w:fill="EFF3F8"/>
          </w:tcPr>
          <w:p>
            <w:pPr>
              <w:spacing w:after="60"/>
            </w:pPr>
            <w:r>
              <w:rPr>
                <w:b w:val="0"/>
                <w:sz w:val="17"/>
              </w:rPr>
              <w:t>Завершение согласованных проверок, запуск и передача исходников/документации.</w:t>
            </w:r>
          </w:p>
        </w:tc>
      </w:tr>
    </w:tbl>
    <w:p>
      <w:pPr>
        <w:spacing w:after="0"/>
      </w:pPr>
    </w:p>
    <w:p>
      <w:pPr>
        <w:pStyle w:val="Heading2"/>
      </w:pPr>
      <w:r>
        <w:t>Что нужно предоставить</w:t>
      </w:r>
    </w:p>
    <w:p>
      <w:r>
        <w:t>Логотип и фирменные материалы; структура и приоритеты разделов; реальные данные направлений, кружков, педагогов и расписания; фото с правами использования; тексты и проверенные переводы RU/KZ; новости/документы; ответственные за контент и приёмку; доступ к домену, согласованной среде и почтовому каналу.</w:t>
      </w:r>
    </w:p>
    <w:p>
      <w:r>
        <w:t>Первичное наполнение: согласованный контрольный набор до 20 кружков, 10 педагогов, 10 информационных страниц и 10 публикаций с предоставленными RU/KZ-текстами. CMS не ограничивается этим числом: остальные материалы сотрудники добавляют самостоятельно или импортируют. Объём начального наполнения уточняется до договора.</w:t>
      </w:r>
    </w:p>
    <w:p>
      <w:pPr>
        <w:pStyle w:val="Heading2"/>
      </w:pPr>
      <w:r>
        <w:t>Права и передача</w:t>
      </w:r>
    </w:p>
    <w:p>
      <w:r>
        <w:t>После полной оплаты передаём результаты индивидуальной разработки и права в объёме договора. Сторонние библиотеки сохраняют свои лицензии; перечень зависимостей передаётся вместе с кодом. Заказчик получает возможность дальнейшего сопровождения и развития проекта.</w:t>
      </w:r>
    </w:p>
    <w:p>
      <w:r>
        <w:t>Исполнитель: ИП ALTEMAN. Руководитель: Каштанов Д.А. ИИН 950905300285. Казахстан, г. Шымкент, ул. Алдиярова, 49.</w:t>
      </w:r>
    </w:p>
    <w:p>
      <w:r>
        <w:t xml:space="preserve">+7 707 333 04 26 · roman@alteman.kz · </w:t>
      </w:r>
      <w:hyperlink r:id="rId20">
        <w:r>
          <w:rPr>
            <w:color w:val="355CE5"/>
          </w:rPr>
          <w:t>https://alteman.kz/</w:t>
        </w:r>
      </w:hyperlink>
      <w:r/>
    </w:p>
    <w:tbl>
      <w:tblPr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</w:tcPr>
          <w:p>
            <w:r>
              <w:t>С уважением,</w:t>
              <w:br/>
              <w:t>руководитель ИП ALTEMAN</w:t>
              <w:br/>
              <w:t>Каштанов Д.А.</w:t>
            </w:r>
          </w:p>
        </w:tc>
        <w:tc>
          <w:tcPr>
            <w:tcW w:type="dxa" w:w="498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56000" cy="11828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atur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11828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17" w:right="964" w:bottom="1020" w:left="96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ALTEMAN  |  +7 707 333 04 26  |  roman@alteman.kz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20000" cy="32602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ltem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26025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  TANYM / 21.10.2026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24384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384E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C4511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tanym.alteman.kz/" TargetMode="External"/><Relationship Id="rId12" Type="http://schemas.openxmlformats.org/officeDocument/2006/relationships/hyperlink" Target="https://tanym.alteman.kz/cms/" TargetMode="External"/><Relationship Id="rId13" Type="http://schemas.openxmlformats.org/officeDocument/2006/relationships/hyperlink" Target="https://tanym.alteman.kz/kp/" TargetMode="External"/><Relationship Id="rId14" Type="http://schemas.openxmlformats.org/officeDocument/2006/relationships/hyperlink" Target="https://nextjs.org/docs/app" TargetMode="External"/><Relationship Id="rId15" Type="http://schemas.openxmlformats.org/officeDocument/2006/relationships/hyperlink" Target="https://www.postgresql.org/docs/current/" TargetMode="External"/><Relationship Id="rId16" Type="http://schemas.openxmlformats.org/officeDocument/2006/relationships/hyperlink" Target="https://www.prisma.io/docs/orm" TargetMode="External"/><Relationship Id="rId17" Type="http://schemas.openxmlformats.org/officeDocument/2006/relationships/hyperlink" Target="https://github.com/daybrush/moveable" TargetMode="External"/><Relationship Id="rId18" Type="http://schemas.openxmlformats.org/officeDocument/2006/relationships/hyperlink" Target="https://digital.alteman.kz/" TargetMode="External"/><Relationship Id="rId19" Type="http://schemas.openxmlformats.org/officeDocument/2006/relationships/hyperlink" Target="https://kz.torgo.biz/" TargetMode="External"/><Relationship Id="rId20" Type="http://schemas.openxmlformats.org/officeDocument/2006/relationships/hyperlink" Target="https://alteman.kz/" TargetMode="External"/><Relationship Id="rId2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TANYM</dc:title>
  <dc:subject/>
  <dc:creator>ИП ALTEMAN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